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《</w:t>
      </w:r>
      <w:r>
        <w:rPr>
          <w:rFonts w:hint="eastAsia" w:ascii="华文仿宋" w:hAnsi="华文仿宋" w:eastAsia="华文仿宋"/>
          <w:sz w:val="28"/>
          <w:szCs w:val="28"/>
          <w:lang w:eastAsia="zh-CN"/>
        </w:rPr>
        <w:t>经济法</w:t>
      </w:r>
      <w:r>
        <w:rPr>
          <w:rFonts w:ascii="华文仿宋" w:hAnsi="华文仿宋" w:eastAsia="华文仿宋"/>
          <w:sz w:val="28"/>
          <w:szCs w:val="28"/>
        </w:rPr>
        <w:t>》</w:t>
      </w:r>
      <w:r>
        <w:rPr>
          <w:rFonts w:hint="eastAsia" w:ascii="华文仿宋" w:hAnsi="华文仿宋" w:eastAsia="华文仿宋"/>
          <w:sz w:val="28"/>
          <w:szCs w:val="28"/>
        </w:rPr>
        <w:t>课程</w:t>
      </w:r>
      <w:r>
        <w:rPr>
          <w:rFonts w:ascii="华文仿宋" w:hAnsi="华文仿宋" w:eastAsia="华文仿宋"/>
          <w:sz w:val="28"/>
          <w:szCs w:val="28"/>
        </w:rPr>
        <w:t>教学提纲</w:t>
      </w:r>
    </w:p>
    <w:p>
      <w:pPr>
        <w:jc w:val="center"/>
        <w:rPr>
          <w:rFonts w:hint="eastAsia" w:ascii="华文仿宋" w:hAnsi="华文仿宋" w:eastAsia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Economic Law</w:t>
      </w:r>
    </w:p>
    <w:p>
      <w:pPr>
        <w:pStyle w:val="7"/>
        <w:numPr>
          <w:ilvl w:val="0"/>
          <w:numId w:val="1"/>
        </w:numPr>
        <w:ind w:firstLineChars="0"/>
        <w:jc w:val="lef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课程基本信息</w:t>
      </w:r>
    </w:p>
    <w:tbl>
      <w:tblPr>
        <w:tblStyle w:val="6"/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2098"/>
        <w:gridCol w:w="59"/>
        <w:gridCol w:w="642"/>
        <w:gridCol w:w="492"/>
        <w:gridCol w:w="1642"/>
        <w:gridCol w:w="59"/>
        <w:gridCol w:w="606"/>
        <w:gridCol w:w="522"/>
        <w:gridCol w:w="1189"/>
        <w:gridCol w:w="318"/>
        <w:gridCol w:w="7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66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开课归属</w:t>
            </w:r>
            <w:r>
              <w:rPr>
                <w:rFonts w:ascii="华文仿宋" w:hAnsi="华文仿宋" w:eastAsia="华文仿宋"/>
              </w:rPr>
              <w:t>系部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ind w:left="47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财务管理系</w:t>
            </w:r>
          </w:p>
        </w:tc>
        <w:tc>
          <w:tcPr>
            <w:tcW w:w="170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</w:t>
            </w:r>
            <w:r>
              <w:rPr>
                <w:rFonts w:ascii="华文仿宋" w:hAnsi="华文仿宋" w:eastAsia="华文仿宋"/>
              </w:rPr>
              <w:t>归属专业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Major</w:t>
            </w:r>
          </w:p>
        </w:tc>
        <w:tc>
          <w:tcPr>
            <w:tcW w:w="3406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MPACC、CPA专业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学年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2015-2016年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t>Semester</w:t>
            </w:r>
          </w:p>
        </w:tc>
        <w:tc>
          <w:tcPr>
            <w:tcW w:w="5107" w:type="dxa"/>
            <w:gridSpan w:val="7"/>
            <w:tcBorders>
              <w:left w:val="nil"/>
            </w:tcBorders>
            <w:vAlign w:val="center"/>
          </w:tcPr>
          <w:p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■第一学期</w:t>
            </w:r>
            <w:r>
              <w:rPr>
                <w:lang w:eastAsia="zh-TW"/>
              </w:rPr>
              <w:t>(Fall)</w:t>
            </w:r>
            <w:r>
              <w:rPr>
                <w:rFonts w:hint="eastAsia" w:ascii="华文仿宋" w:hAnsi="华文仿宋" w:eastAsia="华文仿宋"/>
              </w:rPr>
              <w:t xml:space="preserve"> □第二学期</w:t>
            </w:r>
            <w:r>
              <w:rPr>
                <w:lang w:eastAsia="zh-TW"/>
              </w:rPr>
              <w:t>(Spring)</w:t>
            </w:r>
          </w:p>
          <w:p>
            <w:pPr>
              <w:snapToGrid w:val="0"/>
              <w:ind w:right="-108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课程名称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4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经济法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Course ID</w:t>
            </w:r>
          </w:p>
        </w:tc>
        <w:tc>
          <w:tcPr>
            <w:tcW w:w="1128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学分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英文名称</w:t>
            </w:r>
          </w:p>
        </w:tc>
        <w:tc>
          <w:tcPr>
            <w:tcW w:w="6120" w:type="dxa"/>
            <w:gridSpan w:val="8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 xml:space="preserve"> Economic Law</w:t>
            </w:r>
          </w:p>
          <w:p>
            <w:pPr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总学时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866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属性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 w:cs="Times New Roman"/>
                <w:kern w:val="2"/>
                <w:sz w:val="21"/>
                <w:szCs w:val="22"/>
                <w:lang w:val="en-US" w:eastAsia="zh-CN" w:bidi="ar-SA"/>
              </w:rPr>
              <w:pict>
                <v:shape id="文本框 1" o:spid="_x0000_s1026" type="#_x0000_t202" style="position:absolute;left:0;margin-left:324.95pt;margin-top:9.55pt;height:20.1pt;width:89.5pt;rotation:0f;z-index:-251658240;" o:ole="f" fillcolor="#FFFFFF" filled="t" o:preferrelative="t" stroked="f" coordorigin="0,0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华文仿宋" w:hAnsi="华文仿宋" w:eastAsia="华文仿宋"/>
              </w:rPr>
              <w:t>□公共基础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>■专业基础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ascii="华文仿宋" w:hAnsi="华文仿宋" w:eastAsia="华文仿宋"/>
              </w:rPr>
              <w:t>专业选修课</w:t>
            </w:r>
            <w:r>
              <w:rPr>
                <w:rFonts w:hint="eastAsia" w:ascii="华文仿宋" w:hAnsi="华文仿宋" w:eastAsia="华文仿宋"/>
              </w:rPr>
              <w:t>□公共选修课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8398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 w:cs="Times New Roman"/>
                <w:kern w:val="2"/>
                <w:sz w:val="21"/>
                <w:szCs w:val="22"/>
                <w:lang w:val="en-US" w:eastAsia="zh-CN" w:bidi="ar-SA"/>
              </w:rPr>
              <w:pict>
                <v:shape id="文本框 2" o:spid="_x0000_s1027" type="#_x0000_t202" style="position:absolute;left:0;margin-left:348.15pt;margin-top:13.95pt;height:20.75pt;width:66.8pt;rotation:0f;z-index:-251657216;" o:ole="f" fillcolor="#FFFFFF" filled="t" o:preferrelative="t" stroked="f" coordorigin="0,0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/>
                    </w:txbxContent>
                  </v:textbox>
                </v:shape>
              </w:pict>
            </w:r>
            <w:r>
              <w:rPr>
                <w:rFonts w:hint="eastAsia" w:ascii="华文仿宋" w:hAnsi="华文仿宋" w:eastAsia="华文仿宋"/>
              </w:rPr>
              <w:t>□通识基础课程□通识选修课程□专业基础课程□专业方向课程□专业选修课程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先修课程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P</w:t>
            </w:r>
            <w:r>
              <w:rPr>
                <w:rFonts w:hint="eastAsia" w:ascii="华文仿宋" w:hAnsi="华文仿宋" w:eastAsia="华文仿宋"/>
              </w:rPr>
              <w:t xml:space="preserve">rerequisite </w:t>
            </w:r>
            <w:r>
              <w:rPr>
                <w:rFonts w:ascii="华文仿宋" w:hAnsi="华文仿宋" w:eastAsia="华文仿宋"/>
              </w:rPr>
              <w:t>Course</w:t>
            </w:r>
          </w:p>
        </w:tc>
        <w:tc>
          <w:tcPr>
            <w:tcW w:w="8398" w:type="dxa"/>
            <w:gridSpan w:val="11"/>
            <w:vAlign w:val="top"/>
          </w:tcPr>
          <w:p>
            <w:pPr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经济学，法学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4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■中文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教材语言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5"/>
            <w:vAlign w:val="center"/>
          </w:tcPr>
          <w:p>
            <w:pPr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 xml:space="preserve">■中文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选用教材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Course Material</w:t>
            </w:r>
          </w:p>
        </w:tc>
        <w:tc>
          <w:tcPr>
            <w:tcW w:w="8398" w:type="dxa"/>
            <w:gridSpan w:val="11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自编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参考教材及</w:t>
            </w:r>
            <w:r>
              <w:rPr>
                <w:rFonts w:ascii="华文仿宋" w:hAnsi="华文仿宋" w:eastAsia="华文仿宋"/>
              </w:rPr>
              <w:t>文献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Reference</w:t>
            </w:r>
          </w:p>
        </w:tc>
        <w:tc>
          <w:tcPr>
            <w:tcW w:w="8398" w:type="dxa"/>
            <w:gridSpan w:val="11"/>
            <w:vAlign w:val="center"/>
          </w:tcPr>
          <w:p>
            <w:pPr>
              <w:jc w:val="left"/>
              <w:rPr>
                <w:rFonts w:ascii="华文仿宋" w:hAnsi="华文仿宋" w:eastAsia="PMingLiU"/>
                <w:lang w:eastAsia="zh-TW"/>
              </w:rPr>
            </w:pPr>
          </w:p>
          <w:p>
            <w:pPr>
              <w:jc w:val="left"/>
              <w:rPr>
                <w:rFonts w:hint="eastAsia" w:ascii="华文仿宋" w:hAnsi="华文仿宋" w:eastAsia="宋体"/>
                <w:lang w:eastAsia="zh-CN"/>
              </w:rPr>
            </w:pPr>
            <w:r>
              <w:rPr>
                <w:rFonts w:hint="eastAsia" w:ascii="华文仿宋" w:hAnsi="华文仿宋"/>
                <w:lang w:eastAsia="zh-CN"/>
              </w:rPr>
              <w:t>经济法教程，石光乾主编，清华大学出版社，</w:t>
            </w:r>
            <w:r>
              <w:rPr>
                <w:rFonts w:hint="eastAsia" w:ascii="华文仿宋" w:hAnsi="华文仿宋"/>
                <w:lang w:val="en-US" w:eastAsia="zh-CN"/>
              </w:rPr>
              <w:t>2011年8月第1版</w:t>
            </w:r>
          </w:p>
          <w:p>
            <w:pPr>
              <w:jc w:val="left"/>
              <w:rPr>
                <w:rFonts w:ascii="华文仿宋" w:hAnsi="华文仿宋" w:eastAsia="PMingLiU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授课内容简介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Course Contents Introduction</w:t>
            </w:r>
          </w:p>
        </w:tc>
        <w:tc>
          <w:tcPr>
            <w:tcW w:w="8398" w:type="dxa"/>
            <w:gridSpan w:val="11"/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24"/>
              </w:rPr>
              <w:t>经济法是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会计</w:t>
            </w:r>
            <w:r>
              <w:rPr>
                <w:rFonts w:ascii="宋体" w:hAnsi="宋体" w:cs="宋体"/>
                <w:kern w:val="0"/>
                <w:sz w:val="24"/>
              </w:rPr>
              <w:t>学专业（本科）核心课程之一，该课程以讲授经济法的基本原理和基本制度为核心内容，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通过对不同经济法律部门的讲解，</w:t>
            </w:r>
            <w:r>
              <w:rPr>
                <w:rFonts w:ascii="宋体" w:hAnsi="宋体" w:cs="宋体"/>
                <w:kern w:val="0"/>
                <w:sz w:val="24"/>
              </w:rPr>
              <w:t>讲求理论性和应用性的结合，既注重理论知识的系统性、全面性，又注重经济法具体制度及其实际应用的讲解，使学生系统地、准确地理解和掌握经济法的基本原理、具体法律制度及其相应的规范，并能够在实践中灵活地运用，分析和处理各种实际事务问题。</w:t>
            </w:r>
          </w:p>
          <w:p>
            <w:pPr>
              <w:jc w:val="left"/>
              <w:rPr>
                <w:rFonts w:ascii="华文仿宋" w:hAnsi="华文仿宋" w:eastAsia="华文仿宋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866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考核</w:t>
            </w:r>
            <w:r>
              <w:rPr>
                <w:rFonts w:ascii="华文仿宋" w:hAnsi="华文仿宋" w:eastAsia="华文仿宋"/>
              </w:rPr>
              <w:t>方式</w:t>
            </w:r>
          </w:p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闭卷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开卷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全过程考核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论文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口试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面试</w:t>
            </w:r>
            <w:r>
              <w:rPr>
                <w:rFonts w:hint="eastAsia" w:ascii="华文仿宋" w:hAnsi="华文仿宋" w:eastAsia="华文仿宋"/>
              </w:rPr>
              <w:t>■</w:t>
            </w:r>
            <w:r>
              <w:rPr>
                <w:rFonts w:hint="eastAsia" w:ascii="华文仿宋" w:hAnsi="华文仿宋" w:eastAsia="华文仿宋"/>
                <w:lang w:eastAsia="zh-TW"/>
              </w:rPr>
              <w:t>随堂</w:t>
            </w:r>
            <w:r>
              <w:rPr>
                <w:rFonts w:hint="eastAsia" w:ascii="华文仿宋" w:hAnsi="华文仿宋" w:eastAsia="华文仿宋"/>
              </w:rPr>
              <w:t>测验 □</w:t>
            </w:r>
            <w:r>
              <w:rPr>
                <w:rFonts w:hint="eastAsia" w:ascii="华文仿宋" w:hAnsi="华文仿宋" w:eastAsia="华文仿宋"/>
                <w:lang w:eastAsia="zh-TW"/>
              </w:rPr>
              <w:t>机考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大作业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86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</w:t>
            </w: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考勤</w:t>
            </w:r>
          </w:p>
        </w:tc>
        <w:tc>
          <w:tcPr>
            <w:tcW w:w="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3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1</w:t>
            </w:r>
          </w:p>
        </w:tc>
        <w:tc>
          <w:tcPr>
            <w:tcW w:w="2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</w:t>
            </w:r>
            <w:r>
              <w:rPr>
                <w:rFonts w:ascii="华文仿宋" w:hAnsi="华文仿宋" w:eastAsia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调研报告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</w:t>
            </w:r>
            <w:r>
              <w:rPr>
                <w:rFonts w:ascii="华文仿宋" w:hAnsi="华文仿宋" w:eastAsia="华文仿宋"/>
                <w:szCs w:val="21"/>
              </w:rPr>
              <w:t>小组和个人）</w:t>
            </w:r>
          </w:p>
        </w:tc>
        <w:tc>
          <w:tcPr>
            <w:tcW w:w="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1</w:t>
            </w:r>
          </w:p>
        </w:tc>
        <w:tc>
          <w:tcPr>
            <w:tcW w:w="2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0</w:t>
            </w:r>
          </w:p>
        </w:tc>
        <w:tc>
          <w:tcPr>
            <w:tcW w:w="2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其他（请</w:t>
            </w:r>
            <w:r>
              <w:rPr>
                <w:rFonts w:ascii="华文仿宋" w:hAnsi="华文仿宋" w:eastAsia="华文仿宋"/>
                <w:szCs w:val="21"/>
              </w:rPr>
              <w:t>说明</w:t>
            </w:r>
            <w:r>
              <w:rPr>
                <w:rFonts w:hint="eastAsia" w:ascii="华文仿宋" w:hAnsi="华文仿宋" w:eastAsia="华文仿宋"/>
                <w:szCs w:val="21"/>
              </w:rPr>
              <w:t>）</w:t>
            </w:r>
          </w:p>
        </w:tc>
        <w:tc>
          <w:tcPr>
            <w:tcW w:w="63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说明</w:t>
            </w:r>
          </w:p>
        </w:tc>
        <w:tc>
          <w:tcPr>
            <w:tcW w:w="8398" w:type="dxa"/>
            <w:gridSpan w:val="11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1.</w:t>
            </w:r>
            <w:r>
              <w:rPr>
                <w:rFonts w:hint="eastAsia" w:ascii="华文琥珀" w:hAnsi="华文仿宋" w:eastAsia="华文琥珀"/>
                <w:sz w:val="24"/>
              </w:rPr>
              <w:t>专业课（含必修和选修）必须布置专题小论文或调研报告至少一次，不能为“0”</w:t>
            </w:r>
          </w:p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</w:t>
            </w:r>
            <w:r>
              <w:rPr>
                <w:rFonts w:ascii="华文仿宋" w:hAnsi="华文仿宋" w:eastAsia="华文仿宋"/>
              </w:rPr>
              <w:t>.非</w:t>
            </w: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控制方法则填写“0”</w:t>
            </w:r>
            <w:r>
              <w:rPr>
                <w:rFonts w:hint="eastAsia" w:ascii="华文仿宋" w:hAnsi="华文仿宋" w:eastAsia="华文仿宋"/>
              </w:rPr>
              <w:t>，</w:t>
            </w:r>
            <w:r>
              <w:rPr>
                <w:rFonts w:ascii="华文仿宋" w:hAnsi="华文仿宋" w:eastAsia="华文仿宋"/>
              </w:rPr>
              <w:t>如全过程考核课</w:t>
            </w:r>
            <w:r>
              <w:rPr>
                <w:rFonts w:hint="eastAsia" w:ascii="华文仿宋" w:hAnsi="华文仿宋" w:eastAsia="华文仿宋"/>
              </w:rPr>
              <w:t>程没有期末</w:t>
            </w:r>
            <w:r>
              <w:rPr>
                <w:rFonts w:ascii="华文仿宋" w:hAnsi="华文仿宋" w:eastAsia="华文仿宋"/>
              </w:rPr>
              <w:t>考试，则在次数中填写</w:t>
            </w:r>
            <w:r>
              <w:rPr>
                <w:rFonts w:hint="eastAsia" w:ascii="华文仿宋" w:hAnsi="华文仿宋" w:eastAsia="华文仿宋"/>
              </w:rPr>
              <w:t>“0</w:t>
            </w:r>
            <w:r>
              <w:rPr>
                <w:rFonts w:ascii="华文仿宋" w:hAnsi="华文仿宋" w:eastAsia="华文仿宋"/>
              </w:rPr>
              <w:t>”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  <w:sectPr>
          <w:headerReference r:id="rId4" w:type="default"/>
          <w:pgSz w:w="11906" w:h="16838"/>
          <w:pgMar w:top="1440" w:right="1800" w:bottom="1135" w:left="1800" w:header="851" w:footer="992" w:gutter="0"/>
          <w:cols w:space="720" w:num="1"/>
          <w:docGrid w:type="lines" w:linePitch="312" w:charSpace="0"/>
        </w:sectPr>
      </w:pPr>
    </w:p>
    <w:p>
      <w:pPr>
        <w:pStyle w:val="7"/>
        <w:numPr>
          <w:ilvl w:val="0"/>
          <w:numId w:val="1"/>
        </w:numPr>
        <w:ind w:firstLineChars="0"/>
        <w:jc w:val="lef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任课教师基本信息（Basic Information of Teachers）</w:t>
      </w:r>
    </w:p>
    <w:tbl>
      <w:tblPr>
        <w:tblStyle w:val="6"/>
        <w:tblpPr w:leftFromText="180" w:rightFromText="180" w:vertAnchor="text" w:horzAnchor="margin" w:tblpXSpec="center" w:tblpY="140"/>
        <w:tblW w:w="99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教师</w:t>
            </w:r>
            <w:r>
              <w:rPr>
                <w:rFonts w:ascii="华文仿宋" w:hAnsi="华文仿宋" w:eastAsia="华文仿宋"/>
              </w:rPr>
              <w:t>信息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姓名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N</w:t>
            </w:r>
            <w:r>
              <w:rPr>
                <w:rFonts w:hint="eastAsia" w:ascii="华文仿宋" w:hAnsi="华文仿宋" w:eastAsia="华文仿宋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马延莹</w:t>
            </w: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性别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Gender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出生</w:t>
            </w:r>
            <w:r>
              <w:rPr>
                <w:rFonts w:ascii="华文仿宋" w:hAnsi="华文仿宋" w:eastAsia="华文仿宋"/>
              </w:rPr>
              <w:t>年月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B</w:t>
            </w:r>
            <w:r>
              <w:rPr>
                <w:rFonts w:hint="eastAsia" w:ascii="华文仿宋" w:hAnsi="华文仿宋" w:eastAsia="华文仿宋"/>
              </w:rPr>
              <w:t>irthday</w:t>
            </w:r>
          </w:p>
        </w:tc>
        <w:tc>
          <w:tcPr>
            <w:tcW w:w="1806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1982-8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聘任</w:t>
            </w:r>
            <w:r>
              <w:rPr>
                <w:rFonts w:ascii="华文仿宋" w:hAnsi="华文仿宋" w:eastAsia="华文仿宋"/>
              </w:rPr>
              <w:t>方式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16"/>
              </w:rPr>
              <w:t>Recruitment Channel</w:t>
            </w:r>
          </w:p>
        </w:tc>
        <w:tc>
          <w:tcPr>
            <w:tcW w:w="4093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■专职教师 □外聘教师 □行政兼职教师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所属部门</w:t>
            </w:r>
          </w:p>
        </w:tc>
        <w:tc>
          <w:tcPr>
            <w:tcW w:w="1806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财务管理系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>
            <w:pPr>
              <w:spacing w:line="280" w:lineRule="exact"/>
              <w:ind w:firstLine="105" w:firstLineChars="50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□教授    □副教授 ■讲师    □助教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最高</w:t>
            </w:r>
            <w:r>
              <w:rPr>
                <w:rFonts w:ascii="华文仿宋" w:hAnsi="华文仿宋" w:eastAsia="华文仿宋"/>
              </w:rPr>
              <w:t>学历</w:t>
            </w:r>
            <w:r>
              <w:rPr>
                <w:rFonts w:hint="eastAsia" w:ascii="华文仿宋" w:hAnsi="华文仿宋" w:eastAsia="华文仿宋"/>
              </w:rPr>
              <w:t>/学位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硕士研究生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专业</w:t>
            </w:r>
            <w:r>
              <w:rPr>
                <w:rFonts w:hint="eastAsia" w:ascii="华文仿宋" w:hAnsi="华文仿宋" w:eastAsia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</w:t>
            </w:r>
            <w:r>
              <w:rPr>
                <w:rFonts w:ascii="华文仿宋" w:hAnsi="华文仿宋" w:eastAsia="华文仿宋"/>
              </w:rPr>
              <w:t>电话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移动</w:t>
            </w:r>
            <w:r>
              <w:rPr>
                <w:rFonts w:ascii="华文仿宋" w:hAnsi="华文仿宋" w:eastAsia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办公室</w:t>
            </w:r>
            <w:r>
              <w:rPr>
                <w:rFonts w:ascii="华文仿宋" w:hAnsi="华文仿宋" w:eastAsia="华文仿宋"/>
              </w:rPr>
              <w:t>地址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2A301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</w:t>
            </w:r>
            <w:r>
              <w:rPr>
                <w:rFonts w:ascii="华文仿宋" w:hAnsi="华文仿宋" w:eastAsia="华文仿宋"/>
              </w:rPr>
              <w:t>时间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电子邮箱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E-</w:t>
            </w:r>
            <w:r>
              <w:rPr>
                <w:rFonts w:ascii="华文仿宋" w:hAnsi="华文仿宋" w:eastAsia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sz w:val="16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16"/>
                <w:lang w:val="en-US" w:eastAsia="zh-CN"/>
              </w:rPr>
              <w:t>han0508@163.com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</w:t>
            </w:r>
            <w:r>
              <w:rPr>
                <w:rFonts w:ascii="华文仿宋" w:hAnsi="华文仿宋" w:eastAsia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2A301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QQ</w:t>
            </w:r>
            <w:r>
              <w:rPr>
                <w:rFonts w:ascii="华文仿宋" w:hAnsi="华文仿宋" w:eastAsia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是</w:t>
            </w:r>
            <w:r>
              <w:rPr>
                <w:rFonts w:ascii="华文仿宋" w:hAnsi="华文仿宋" w:eastAsia="华文仿宋"/>
              </w:rPr>
              <w:t>否具有</w:t>
            </w:r>
            <w:r>
              <w:rPr>
                <w:rFonts w:hint="eastAsia" w:ascii="华文仿宋" w:hAnsi="华文仿宋" w:eastAsia="华文仿宋"/>
              </w:rPr>
              <w:t>高校</w:t>
            </w:r>
            <w:r>
              <w:rPr>
                <w:rFonts w:ascii="华文仿宋" w:hAnsi="华文仿宋" w:eastAsia="华文仿宋"/>
              </w:rPr>
              <w:t>教师资格证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>
            <w:pPr>
              <w:spacing w:line="280" w:lineRule="exact"/>
              <w:ind w:firstLine="210" w:firstLineChars="10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■是    □否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pStyle w:val="7"/>
        <w:numPr>
          <w:ilvl w:val="0"/>
          <w:numId w:val="1"/>
        </w:numPr>
        <w:ind w:firstLineChars="0"/>
        <w:jc w:val="lef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课程的</w:t>
      </w:r>
      <w:r>
        <w:rPr>
          <w:rFonts w:ascii="华文仿宋" w:hAnsi="华文仿宋" w:eastAsia="华文仿宋"/>
          <w:sz w:val="28"/>
          <w:szCs w:val="28"/>
        </w:rPr>
        <w:t>预备知识</w:t>
      </w:r>
      <w:r>
        <w:rPr>
          <w:rFonts w:hint="eastAsia" w:ascii="华文仿宋" w:hAnsi="华文仿宋" w:eastAsia="华文仿宋"/>
          <w:sz w:val="28"/>
          <w:szCs w:val="28"/>
        </w:rPr>
        <w:t xml:space="preserve"> Prerequisite </w:t>
      </w:r>
      <w:r>
        <w:rPr>
          <w:rFonts w:ascii="华文仿宋" w:hAnsi="华文仿宋" w:eastAsia="华文仿宋"/>
          <w:sz w:val="28"/>
          <w:szCs w:val="28"/>
        </w:rPr>
        <w:t>Knowledgeof the Course</w:t>
      </w:r>
    </w:p>
    <w:tbl>
      <w:tblPr>
        <w:tblStyle w:val="6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5" w:type="dxa"/>
            <w:vAlign w:val="top"/>
          </w:tcPr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法律基础知识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pStyle w:val="7"/>
        <w:numPr>
          <w:ilvl w:val="0"/>
          <w:numId w:val="1"/>
        </w:numPr>
        <w:ind w:firstLineChars="0"/>
        <w:jc w:val="lef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教学目的（</w:t>
      </w:r>
      <w:r>
        <w:rPr>
          <w:rFonts w:ascii="华文仿宋" w:hAnsi="华文仿宋" w:eastAsia="华文仿宋"/>
          <w:sz w:val="28"/>
          <w:szCs w:val="28"/>
        </w:rPr>
        <w:t>Course Description</w:t>
      </w:r>
      <w:r>
        <w:rPr>
          <w:rFonts w:hint="eastAsia" w:ascii="华文仿宋" w:hAnsi="华文仿宋" w:eastAsia="华文仿宋"/>
          <w:sz w:val="28"/>
          <w:szCs w:val="28"/>
        </w:rPr>
        <w:t>）</w:t>
      </w:r>
    </w:p>
    <w:tbl>
      <w:tblPr>
        <w:tblStyle w:val="6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5" w:type="dxa"/>
            <w:vAlign w:val="top"/>
          </w:tcPr>
          <w:p>
            <w:pPr>
              <w:jc w:val="left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在初步掌握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法律基础知识的基础上，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使学生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在今后的学习生活和工作中能熟练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掌握相关经济法规，为从事专业工作打好基础。</w:t>
            </w: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pStyle w:val="7"/>
        <w:numPr>
          <w:ilvl w:val="0"/>
          <w:numId w:val="1"/>
        </w:numPr>
        <w:ind w:firstLineChars="0"/>
        <w:jc w:val="lef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课前预习</w:t>
      </w:r>
      <w:r>
        <w:rPr>
          <w:rFonts w:ascii="华文仿宋" w:hAnsi="华文仿宋" w:eastAsia="华文仿宋"/>
          <w:sz w:val="28"/>
          <w:szCs w:val="28"/>
        </w:rPr>
        <w:t>方法</w:t>
      </w:r>
      <w:r>
        <w:rPr>
          <w:rFonts w:hint="eastAsia" w:ascii="华文仿宋" w:hAnsi="华文仿宋" w:eastAsia="华文仿宋"/>
          <w:sz w:val="28"/>
          <w:szCs w:val="28"/>
        </w:rPr>
        <w:t xml:space="preserve"> (</w:t>
      </w:r>
      <w:r>
        <w:rPr>
          <w:rFonts w:ascii="华文仿宋" w:hAnsi="华文仿宋" w:eastAsia="华文仿宋"/>
          <w:sz w:val="28"/>
          <w:szCs w:val="28"/>
        </w:rPr>
        <w:t>Preview Methods</w:t>
      </w:r>
      <w:r>
        <w:rPr>
          <w:rFonts w:hint="eastAsia" w:ascii="华文仿宋" w:hAnsi="华文仿宋" w:eastAsia="华文仿宋"/>
          <w:sz w:val="28"/>
          <w:szCs w:val="28"/>
        </w:rPr>
        <w:t>)</w:t>
      </w:r>
    </w:p>
    <w:tbl>
      <w:tblPr>
        <w:tblStyle w:val="6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5" w:type="dxa"/>
            <w:vAlign w:val="top"/>
          </w:tcPr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课前要求学生提前参考自编讲义进行学习</w:t>
            </w: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pStyle w:val="7"/>
        <w:numPr>
          <w:ilvl w:val="0"/>
          <w:numId w:val="1"/>
        </w:numPr>
        <w:ind w:firstLineChars="0"/>
        <w:jc w:val="lef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课程课堂</w:t>
      </w:r>
      <w:r>
        <w:rPr>
          <w:rFonts w:ascii="华文仿宋" w:hAnsi="华文仿宋" w:eastAsia="华文仿宋"/>
          <w:sz w:val="28"/>
          <w:szCs w:val="28"/>
        </w:rPr>
        <w:t>要求</w:t>
      </w:r>
      <w:r>
        <w:rPr>
          <w:rFonts w:hint="eastAsia" w:ascii="华文仿宋" w:hAnsi="华文仿宋" w:eastAsia="华文仿宋"/>
          <w:sz w:val="28"/>
          <w:szCs w:val="28"/>
        </w:rPr>
        <w:t xml:space="preserve"> (</w:t>
      </w:r>
      <w:r>
        <w:rPr>
          <w:rFonts w:ascii="华文仿宋" w:hAnsi="华文仿宋" w:eastAsia="华文仿宋"/>
          <w:sz w:val="28"/>
          <w:szCs w:val="28"/>
        </w:rPr>
        <w:t xml:space="preserve"> Requirements for Classroom Performance</w:t>
      </w:r>
      <w:r>
        <w:rPr>
          <w:rFonts w:hint="eastAsia" w:ascii="华文仿宋" w:hAnsi="华文仿宋" w:eastAsia="华文仿宋"/>
          <w:sz w:val="28"/>
          <w:szCs w:val="28"/>
        </w:rPr>
        <w:t>)</w:t>
      </w:r>
    </w:p>
    <w:tbl>
      <w:tblPr>
        <w:tblStyle w:val="6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2" w:hRule="atLeast"/>
        </w:trPr>
        <w:tc>
          <w:tcPr>
            <w:tcW w:w="10065" w:type="dxa"/>
            <w:vAlign w:val="top"/>
          </w:tcPr>
          <w:p>
            <w:pPr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迟到</w:t>
            </w:r>
            <w:r>
              <w:rPr>
                <w:rFonts w:ascii="华文仿宋" w:hAnsi="华文仿宋" w:eastAsia="华文仿宋"/>
                <w:szCs w:val="21"/>
              </w:rPr>
              <w:t>处理：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比照缺勤相应处理</w:t>
            </w:r>
          </w:p>
          <w:p>
            <w:pPr>
              <w:rPr>
                <w:rFonts w:ascii="华文仿宋" w:hAnsi="华文仿宋" w:eastAsia="华文仿宋"/>
                <w:szCs w:val="21"/>
              </w:rPr>
            </w:pPr>
          </w:p>
          <w:p>
            <w:pPr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早退</w:t>
            </w:r>
            <w:r>
              <w:rPr>
                <w:rFonts w:ascii="华文仿宋" w:hAnsi="华文仿宋" w:eastAsia="华文仿宋"/>
                <w:szCs w:val="21"/>
              </w:rPr>
              <w:t>处理</w:t>
            </w:r>
            <w:r>
              <w:rPr>
                <w:rFonts w:hint="eastAsia" w:ascii="华文仿宋" w:hAnsi="华文仿宋" w:eastAsia="华文仿宋"/>
                <w:szCs w:val="21"/>
              </w:rPr>
              <w:t>：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按缺勤处理</w:t>
            </w:r>
          </w:p>
          <w:p>
            <w:pPr>
              <w:rPr>
                <w:rFonts w:ascii="华文仿宋" w:hAnsi="华文仿宋" w:eastAsia="华文仿宋"/>
                <w:szCs w:val="21"/>
              </w:rPr>
            </w:pPr>
          </w:p>
          <w:p>
            <w:pPr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旷课</w:t>
            </w:r>
            <w:r>
              <w:rPr>
                <w:rFonts w:ascii="华文仿宋" w:hAnsi="华文仿宋" w:eastAsia="华文仿宋"/>
                <w:szCs w:val="21"/>
              </w:rPr>
              <w:t>处理：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按缺勤处理</w:t>
            </w:r>
          </w:p>
          <w:p>
            <w:pPr>
              <w:rPr>
                <w:rFonts w:ascii="华文仿宋" w:hAnsi="华文仿宋" w:eastAsia="华文仿宋"/>
                <w:szCs w:val="21"/>
              </w:rPr>
            </w:pPr>
          </w:p>
          <w:p>
            <w:pPr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请假</w:t>
            </w:r>
            <w:r>
              <w:rPr>
                <w:rFonts w:ascii="华文仿宋" w:hAnsi="华文仿宋" w:eastAsia="华文仿宋"/>
                <w:szCs w:val="21"/>
              </w:rPr>
              <w:t>处理：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三次以内的合理请假视同出勤</w:t>
            </w:r>
          </w:p>
          <w:p>
            <w:pPr>
              <w:rPr>
                <w:rFonts w:ascii="华文仿宋" w:hAnsi="华文仿宋" w:eastAsia="华文仿宋"/>
                <w:szCs w:val="21"/>
              </w:rPr>
            </w:pPr>
          </w:p>
          <w:p>
            <w:pPr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课上</w:t>
            </w:r>
            <w:r>
              <w:rPr>
                <w:rFonts w:ascii="华文仿宋" w:hAnsi="华文仿宋" w:eastAsia="华文仿宋"/>
                <w:szCs w:val="21"/>
              </w:rPr>
              <w:t>纪律要求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：要求遵守学生课堂行为规范，</w:t>
            </w:r>
            <w:r>
              <w:rPr>
                <w:rFonts w:ascii="华文仿宋" w:hAnsi="华文仿宋" w:eastAsia="华文仿宋"/>
                <w:szCs w:val="28"/>
              </w:rPr>
              <w:t>讲课期间不允许随便走动</w:t>
            </w:r>
            <w:r>
              <w:rPr>
                <w:rFonts w:hint="eastAsia" w:ascii="华文仿宋" w:hAnsi="华文仿宋" w:eastAsia="华文仿宋"/>
                <w:szCs w:val="28"/>
              </w:rPr>
              <w:t>，</w:t>
            </w:r>
            <w:r>
              <w:rPr>
                <w:rFonts w:ascii="华文仿宋" w:hAnsi="华文仿宋" w:eastAsia="华文仿宋"/>
                <w:szCs w:val="28"/>
              </w:rPr>
              <w:t>不允许说话</w:t>
            </w:r>
            <w:r>
              <w:rPr>
                <w:rFonts w:hint="eastAsia" w:ascii="华文仿宋" w:hAnsi="华文仿宋" w:eastAsia="华文仿宋"/>
                <w:szCs w:val="28"/>
                <w:lang w:eastAsia="zh-CN"/>
              </w:rPr>
              <w:t>，不允许手机随意在课堂响起。课间休息</w:t>
            </w:r>
            <w:r>
              <w:rPr>
                <w:rFonts w:hint="eastAsia" w:ascii="华文仿宋" w:hAnsi="华文仿宋" w:eastAsia="华文仿宋"/>
                <w:szCs w:val="28"/>
              </w:rPr>
              <w:t>时可以去卫生间、相互交流等活</w:t>
            </w:r>
            <w:r>
              <w:rPr>
                <w:rFonts w:hint="eastAsia" w:ascii="华文仿宋" w:hAnsi="华文仿宋" w:eastAsia="华文仿宋"/>
                <w:szCs w:val="28"/>
                <w:lang w:eastAsia="zh-CN"/>
              </w:rPr>
              <w:t>动</w:t>
            </w:r>
          </w:p>
          <w:p>
            <w:pPr>
              <w:rPr>
                <w:rFonts w:ascii="华文仿宋" w:hAnsi="华文仿宋" w:eastAsia="华文仿宋"/>
                <w:sz w:val="20"/>
                <w:szCs w:val="28"/>
              </w:rPr>
            </w:pPr>
          </w:p>
          <w:p>
            <w:pPr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其他：</w:t>
            </w:r>
          </w:p>
          <w:p>
            <w:pPr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鼓励主动参与课堂沟通</w:t>
            </w:r>
          </w:p>
          <w:p>
            <w:pPr>
              <w:rPr>
                <w:rFonts w:ascii="华文仿宋" w:hAnsi="华文仿宋" w:eastAsia="华文仿宋"/>
                <w:szCs w:val="21"/>
              </w:rPr>
            </w:pPr>
          </w:p>
          <w:p>
            <w:pPr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说明</w:t>
            </w:r>
            <w:r>
              <w:rPr>
                <w:rFonts w:ascii="华文仿宋" w:hAnsi="华文仿宋" w:eastAsia="华文仿宋"/>
                <w:szCs w:val="21"/>
              </w:rPr>
              <w:t>：</w:t>
            </w:r>
            <w:r>
              <w:rPr>
                <w:rFonts w:hint="eastAsia" w:ascii="华文仿宋" w:hAnsi="华文仿宋" w:eastAsia="华文仿宋"/>
                <w:szCs w:val="21"/>
              </w:rPr>
              <w:t>学生上课铃响后进入教室的按迟到论处，下课铃响前离开教室的按早退论处；学生迟到、早退15分钟以上或迟到、早退达3次者，按旷课1学时论。</w:t>
            </w:r>
          </w:p>
        </w:tc>
      </w:tr>
    </w:tbl>
    <w:p>
      <w:pPr>
        <w:pStyle w:val="7"/>
        <w:numPr>
          <w:ilvl w:val="0"/>
          <w:numId w:val="1"/>
        </w:numPr>
        <w:ind w:firstLineChars="0"/>
        <w:jc w:val="lef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学生学习</w:t>
      </w:r>
      <w:r>
        <w:rPr>
          <w:rFonts w:ascii="华文仿宋" w:hAnsi="华文仿宋" w:eastAsia="华文仿宋"/>
          <w:sz w:val="28"/>
          <w:szCs w:val="28"/>
        </w:rPr>
        <w:t>达到的效果(Student Learning Outcomes)</w:t>
      </w:r>
    </w:p>
    <w:tbl>
      <w:tblPr>
        <w:tblStyle w:val="6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2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要求</w:t>
            </w:r>
            <w:r>
              <w:rPr>
                <w:rFonts w:ascii="华文仿宋" w:hAnsi="华文仿宋" w:eastAsia="华文仿宋"/>
                <w:szCs w:val="21"/>
              </w:rPr>
              <w:t>掌握的知识点：</w:t>
            </w:r>
          </w:p>
          <w:p>
            <w:pPr>
              <w:jc w:val="left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个人独资企业法，合伙企业法，外汇法，合同法（总则），物权法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要求理解</w:t>
            </w:r>
            <w:r>
              <w:rPr>
                <w:rFonts w:ascii="华文仿宋" w:hAnsi="华文仿宋" w:eastAsia="华文仿宋"/>
                <w:szCs w:val="21"/>
              </w:rPr>
              <w:t>的知识点</w:t>
            </w:r>
            <w:r>
              <w:rPr>
                <w:rFonts w:hint="eastAsia" w:ascii="华文仿宋" w:hAnsi="华文仿宋" w:eastAsia="华文仿宋"/>
                <w:szCs w:val="21"/>
              </w:rPr>
              <w:t>：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公司法，合同法（分则）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要求</w:t>
            </w:r>
            <w:r>
              <w:rPr>
                <w:rFonts w:ascii="华文仿宋" w:hAnsi="华文仿宋" w:eastAsia="华文仿宋"/>
                <w:szCs w:val="21"/>
              </w:rPr>
              <w:t>了解的知识点：</w:t>
            </w:r>
          </w:p>
          <w:p>
            <w:pPr>
              <w:jc w:val="left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证券法</w:t>
            </w: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pStyle w:val="7"/>
        <w:numPr>
          <w:ilvl w:val="0"/>
          <w:numId w:val="1"/>
        </w:numPr>
        <w:ind w:firstLineChars="0"/>
        <w:jc w:val="lef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课程教学环节的安排、方法和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评分</w:t>
      </w:r>
      <w:r>
        <w:rPr>
          <w:rFonts w:ascii="仿宋_GB2312" w:hAnsi="宋体" w:eastAsia="仿宋_GB2312" w:cs="宋体"/>
          <w:kern w:val="0"/>
          <w:sz w:val="28"/>
          <w:szCs w:val="28"/>
        </w:rPr>
        <w:t>标准</w:t>
      </w:r>
    </w:p>
    <w:p>
      <w:pPr>
        <w:widowControl/>
        <w:numPr>
          <w:ilvl w:val="0"/>
          <w:numId w:val="2"/>
        </w:numPr>
        <w:spacing w:line="360" w:lineRule="auto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课程教学环节安排（</w:t>
      </w:r>
      <w:r>
        <w:rPr>
          <w:rFonts w:ascii="仿宋_GB2312" w:hAnsi="宋体" w:eastAsia="仿宋_GB2312" w:cs="宋体"/>
          <w:kern w:val="0"/>
          <w:sz w:val="28"/>
          <w:szCs w:val="28"/>
        </w:rPr>
        <w:t>Course Progress Outline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）</w:t>
      </w:r>
    </w:p>
    <w:tbl>
      <w:tblPr>
        <w:tblStyle w:val="6"/>
        <w:tblW w:w="100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00"/>
        <w:gridCol w:w="4667"/>
        <w:gridCol w:w="1316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教学周次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日期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章节题目及内容提要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授课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执行情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况记录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个人独资企业法——理论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2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个人独资企业法——理论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3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个人独资企业法——案例，随堂小测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4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合伙企业法——理论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5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合伙企业法——理论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6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4667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合伙企业法——案例，随堂小测</w:t>
            </w:r>
          </w:p>
        </w:tc>
        <w:tc>
          <w:tcPr>
            <w:tcW w:w="131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7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4667" w:type="dxa"/>
            <w:tcBorders>
              <w:bottom w:val="single" w:color="auto" w:sz="4" w:space="0"/>
              <w:tl2br w:val="nil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公司法</w:t>
            </w:r>
          </w:p>
        </w:tc>
        <w:tc>
          <w:tcPr>
            <w:tcW w:w="1316" w:type="dxa"/>
            <w:tcBorders>
              <w:bottom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8</w:t>
            </w:r>
          </w:p>
        </w:tc>
        <w:tc>
          <w:tcPr>
            <w:tcW w:w="1100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视频教学——案例</w:t>
            </w:r>
          </w:p>
        </w:tc>
        <w:tc>
          <w:tcPr>
            <w:tcW w:w="1316" w:type="dxa"/>
            <w:tcBorders>
              <w:left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视频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9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外汇法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10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外汇法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11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物权法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物权法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讲授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13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合同法——总则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讲授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合同法——分则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讲授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证券法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讲授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华文仿宋" w:hAnsi="华文仿宋" w:eastAsia="华文仿宋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16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随堂考试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eastAsia="zh-CN"/>
              </w:rPr>
              <w:t>考试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  <w:lang w:val="en-US" w:eastAsia="zh-CN"/>
              </w:rPr>
              <w:t>4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华文仿宋" w:hAnsi="华文仿宋" w:eastAsia="华文仿宋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numPr>
          <w:ilvl w:val="0"/>
          <w:numId w:val="2"/>
        </w:numPr>
        <w:tabs>
          <w:tab w:val="left" w:pos="284"/>
          <w:tab w:val="clear" w:pos="900"/>
        </w:tabs>
        <w:spacing w:line="360" w:lineRule="auto"/>
        <w:ind w:hanging="90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课程教学方法</w:t>
      </w:r>
    </w:p>
    <w:tbl>
      <w:tblPr>
        <w:tblStyle w:val="6"/>
        <w:tblW w:w="98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49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教学方法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华文仿宋" w:hAnsi="华文仿宋" w:eastAsia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891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571"/>
                <w:kern w:val="0"/>
              </w:rPr>
              <w:t>讲</w:t>
            </w:r>
            <w:r>
              <w:rPr>
                <w:rFonts w:hint="eastAsia" w:ascii="华文仿宋" w:hAnsi="华文仿宋" w:eastAsia="华文仿宋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98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35"/>
                <w:kern w:val="0"/>
              </w:rPr>
              <w:t>影片欣</w:t>
            </w:r>
            <w:r>
              <w:rPr>
                <w:rFonts w:hint="eastAsia" w:ascii="华文仿宋" w:hAnsi="华文仿宋" w:eastAsia="华文仿宋"/>
                <w:spacing w:val="7"/>
                <w:kern w:val="0"/>
              </w:rPr>
              <w:t>赏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2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615"/>
                <w:kern w:val="0"/>
              </w:rPr>
              <w:t>讨</w:t>
            </w:r>
            <w:r>
              <w:rPr>
                <w:rFonts w:hint="eastAsia" w:ascii="华文仿宋" w:hAnsi="华文仿宋" w:eastAsia="华文仿宋"/>
                <w:spacing w:val="7"/>
                <w:kern w:val="0"/>
              </w:rPr>
              <w:t>论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个案研</w:t>
            </w:r>
            <w:r>
              <w:rPr>
                <w:rFonts w:hint="eastAsia" w:ascii="华文仿宋" w:hAnsi="华文仿宋" w:eastAsia="华文仿宋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35"/>
                <w:kern w:val="0"/>
              </w:rPr>
              <w:t>服务学</w:t>
            </w:r>
            <w:r>
              <w:rPr>
                <w:rFonts w:hint="eastAsia" w:ascii="华文仿宋" w:hAnsi="华文仿宋" w:eastAsia="华文仿宋"/>
                <w:spacing w:val="7"/>
                <w:kern w:val="0"/>
              </w:rPr>
              <w:t>习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30"/>
                <w:kern w:val="0"/>
              </w:rPr>
              <w:t>问题导向学</w:t>
            </w:r>
            <w:r>
              <w:rPr>
                <w:rFonts w:hint="eastAsia" w:ascii="华文仿宋" w:hAnsi="华文仿宋" w:eastAsia="华文仿宋"/>
                <w:spacing w:val="52"/>
                <w:kern w:val="0"/>
              </w:rPr>
              <w:t>习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竞赛游</w:t>
            </w:r>
            <w:r>
              <w:rPr>
                <w:rFonts w:hint="eastAsia" w:ascii="华文仿宋" w:hAnsi="华文仿宋" w:eastAsia="华文仿宋"/>
                <w:kern w:val="0"/>
              </w:rPr>
              <w:t>戏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35"/>
                <w:kern w:val="0"/>
              </w:rPr>
              <w:t>专家演</w:t>
            </w:r>
            <w:r>
              <w:rPr>
                <w:rFonts w:hint="eastAsia" w:ascii="华文仿宋" w:hAnsi="华文仿宋" w:eastAsia="华文仿宋"/>
                <w:spacing w:val="7"/>
                <w:kern w:val="0"/>
              </w:rPr>
              <w:t>讲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35"/>
                <w:kern w:val="0"/>
              </w:rPr>
              <w:t>专题实</w:t>
            </w:r>
            <w:r>
              <w:rPr>
                <w:rFonts w:hint="eastAsia" w:ascii="华文仿宋" w:hAnsi="华文仿宋" w:eastAsia="华文仿宋"/>
                <w:spacing w:val="7"/>
                <w:kern w:val="0"/>
              </w:rPr>
              <w:t>践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电子教</w:t>
            </w:r>
            <w:r>
              <w:rPr>
                <w:rFonts w:hint="eastAsia" w:ascii="华文仿宋" w:hAnsi="华文仿宋" w:eastAsia="华文仿宋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35"/>
                <w:kern w:val="0"/>
              </w:rPr>
              <w:t>体验教</w:t>
            </w:r>
            <w:r>
              <w:rPr>
                <w:rFonts w:hint="eastAsia" w:ascii="华文仿宋" w:hAnsi="华文仿宋" w:eastAsia="华文仿宋"/>
                <w:spacing w:val="7"/>
                <w:kern w:val="0"/>
              </w:rPr>
              <w:t>学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5"/>
                <w:w w:val="86"/>
                <w:kern w:val="0"/>
              </w:rPr>
              <w:t>角色扮演实境教</w:t>
            </w:r>
            <w:r>
              <w:rPr>
                <w:rFonts w:hint="eastAsia" w:ascii="华文仿宋" w:hAnsi="华文仿宋" w:eastAsia="华文仿宋"/>
                <w:spacing w:val="7"/>
                <w:w w:val="86"/>
                <w:kern w:val="0"/>
              </w:rPr>
              <w:t>学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60"/>
                <w:kern w:val="0"/>
              </w:rPr>
              <w:t>竞赛读书</w:t>
            </w:r>
            <w:r>
              <w:rPr>
                <w:rFonts w:hint="eastAsia" w:ascii="华文仿宋" w:hAnsi="华文仿宋" w:eastAsia="华文仿宋"/>
                <w:spacing w:val="15"/>
                <w:kern w:val="0"/>
              </w:rPr>
              <w:t>会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35"/>
                <w:kern w:val="0"/>
              </w:rPr>
              <w:t>产业实</w:t>
            </w:r>
            <w:r>
              <w:rPr>
                <w:rFonts w:hint="eastAsia" w:ascii="华文仿宋" w:hAnsi="华文仿宋" w:eastAsia="华文仿宋"/>
                <w:spacing w:val="7"/>
                <w:kern w:val="0"/>
              </w:rPr>
              <w:t>习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35"/>
                <w:kern w:val="0"/>
              </w:rPr>
              <w:t>自主学</w:t>
            </w:r>
            <w:r>
              <w:rPr>
                <w:rFonts w:hint="eastAsia" w:ascii="华文仿宋" w:hAnsi="华文仿宋" w:eastAsia="华文仿宋"/>
                <w:spacing w:val="7"/>
                <w:kern w:val="0"/>
              </w:rPr>
              <w:t>习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60"/>
                <w:kern w:val="0"/>
              </w:rPr>
              <w:t>对话教学</w:t>
            </w:r>
            <w:r>
              <w:rPr>
                <w:rFonts w:hint="eastAsia" w:ascii="华文仿宋" w:hAnsi="华文仿宋" w:eastAsia="华文仿宋"/>
                <w:spacing w:val="15"/>
                <w:kern w:val="0"/>
              </w:rPr>
              <w:t>法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9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39"/>
                <w:kern w:val="0"/>
              </w:rPr>
              <w:t>样本观</w:t>
            </w:r>
            <w:r>
              <w:rPr>
                <w:rFonts w:hint="eastAsia" w:ascii="华文仿宋" w:hAnsi="华文仿宋" w:eastAsia="华文仿宋"/>
                <w:kern w:val="0"/>
              </w:rPr>
              <w:t>察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35"/>
                <w:kern w:val="0"/>
              </w:rPr>
              <w:t>校外参</w:t>
            </w:r>
            <w:r>
              <w:rPr>
                <w:rFonts w:hint="eastAsia" w:ascii="华文仿宋" w:hAnsi="华文仿宋" w:eastAsia="华文仿宋"/>
                <w:spacing w:val="7"/>
                <w:kern w:val="0"/>
              </w:rPr>
              <w:t>访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kern w:val="0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实践教</w:t>
            </w:r>
            <w:r>
              <w:rPr>
                <w:rFonts w:hint="eastAsia" w:ascii="华文仿宋" w:hAnsi="华文仿宋" w:eastAsia="华文仿宋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597"/>
                <w:kern w:val="0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39"/>
                <w:kern w:val="0"/>
              </w:rPr>
              <w:t>个别指</w:t>
            </w:r>
            <w:r>
              <w:rPr>
                <w:rFonts w:hint="eastAsia" w:ascii="华文仿宋" w:hAnsi="华文仿宋" w:eastAsia="华文仿宋"/>
                <w:kern w:val="0"/>
              </w:rPr>
              <w:t>导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615"/>
                <w:kern w:val="0"/>
              </w:rPr>
              <w:t>其</w:t>
            </w:r>
            <w:r>
              <w:rPr>
                <w:rFonts w:hint="eastAsia" w:ascii="华文仿宋" w:hAnsi="华文仿宋" w:eastAsia="华文仿宋"/>
                <w:spacing w:val="7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854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 w:val="20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说明：.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54" w:type="dxa"/>
            <w:gridSpan w:val="7"/>
            <w:vAlign w:val="center"/>
          </w:tcPr>
          <w:p>
            <w:pPr>
              <w:spacing w:line="280" w:lineRule="exact"/>
              <w:ind w:left="800" w:hanging="800" w:hangingChars="400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  <w:r>
              <w:rPr>
                <w:rFonts w:hint="eastAsia" w:ascii="华文仿宋" w:hAnsi="华文仿宋" w:eastAsia="华文仿宋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hAnsi="华文仿宋" w:eastAsia="华文仿宋"/>
                <w:sz w:val="20"/>
                <w:szCs w:val="20"/>
              </w:rPr>
              <w:t>0”</w:t>
            </w:r>
            <w:r>
              <w:rPr>
                <w:rFonts w:hint="eastAsia" w:ascii="华文仿宋" w:hAnsi="华文仿宋" w:eastAsia="华文仿宋"/>
                <w:sz w:val="20"/>
                <w:szCs w:val="20"/>
              </w:rPr>
              <w:t>。各项总合须等于</w:t>
            </w:r>
            <w:r>
              <w:rPr>
                <w:rFonts w:ascii="华文仿宋" w:hAnsi="华文仿宋" w:eastAsia="华文仿宋"/>
                <w:sz w:val="20"/>
                <w:szCs w:val="20"/>
              </w:rPr>
              <w:t xml:space="preserve">100%                           </w:t>
            </w:r>
          </w:p>
        </w:tc>
      </w:tr>
    </w:tbl>
    <w:p>
      <w:pPr>
        <w:widowControl/>
        <w:numPr>
          <w:ilvl w:val="0"/>
          <w:numId w:val="2"/>
        </w:numPr>
        <w:tabs>
          <w:tab w:val="left" w:pos="284"/>
          <w:tab w:val="clear" w:pos="900"/>
        </w:tabs>
        <w:spacing w:line="360" w:lineRule="auto"/>
        <w:ind w:hanging="90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评分</w:t>
      </w:r>
      <w:r>
        <w:rPr>
          <w:rFonts w:ascii="仿宋_GB2312" w:hAnsi="宋体" w:eastAsia="仿宋_GB2312" w:cs="宋体"/>
          <w:kern w:val="0"/>
          <w:sz w:val="28"/>
          <w:szCs w:val="28"/>
        </w:rPr>
        <w:t>标准</w:t>
      </w:r>
    </w:p>
    <w:tbl>
      <w:tblPr>
        <w:tblStyle w:val="6"/>
        <w:tblW w:w="99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评分标准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Learning Evaluation</w:t>
            </w: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课堂之前测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学生表现侧写报告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个案分析报告撰写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专题发表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课堂上实践演练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专业团体之鉴定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期中考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期末考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50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随堂考（小考）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书面报告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心得或作业撰写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口头报告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面试或口试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自评与小组互评</w:t>
            </w:r>
          </w:p>
        </w:tc>
        <w:tc>
          <w:tcPr>
            <w:tcW w:w="144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笔记</w:t>
            </w:r>
          </w:p>
        </w:tc>
        <w:tc>
          <w:tcPr>
            <w:tcW w:w="144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</w:t>
            </w:r>
            <w:r>
              <w:rPr>
                <w:rFonts w:ascii="华文仿宋" w:hAnsi="华文仿宋" w:eastAsia="华文仿宋"/>
                <w:szCs w:val="21"/>
              </w:rPr>
              <w:t>出勤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25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44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98" w:type="dxa"/>
            <w:vMerge w:val="continue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说明：</w:t>
            </w: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righ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>
            <w:pPr>
              <w:spacing w:line="280" w:lineRule="exact"/>
              <w:ind w:left="735" w:hanging="735" w:hangingChars="350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hAnsi="华文仿宋" w:eastAsia="华文仿宋"/>
                <w:szCs w:val="21"/>
              </w:rPr>
              <w:t>0</w:t>
            </w:r>
            <w:r>
              <w:rPr>
                <w:rFonts w:hint="eastAsia" w:ascii="华文仿宋" w:hAnsi="华文仿宋" w:eastAsia="华文仿宋"/>
                <w:szCs w:val="21"/>
              </w:rPr>
              <w:t>。各项总合须等于</w:t>
            </w:r>
            <w:r>
              <w:rPr>
                <w:rFonts w:ascii="华文仿宋" w:hAnsi="华文仿宋" w:eastAsia="华文仿宋"/>
                <w:szCs w:val="21"/>
              </w:rPr>
              <w:t>100%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pStyle w:val="7"/>
        <w:numPr>
          <w:ilvl w:val="0"/>
          <w:numId w:val="1"/>
        </w:numPr>
        <w:ind w:firstLineChars="0"/>
        <w:jc w:val="lef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对学生</w:t>
      </w:r>
      <w:r>
        <w:rPr>
          <w:rFonts w:ascii="华文仿宋" w:hAnsi="华文仿宋" w:eastAsia="华文仿宋"/>
          <w:sz w:val="28"/>
          <w:szCs w:val="28"/>
        </w:rPr>
        <w:t>学术</w:t>
      </w:r>
      <w:r>
        <w:rPr>
          <w:rFonts w:hint="eastAsia" w:ascii="华文仿宋" w:hAnsi="华文仿宋" w:eastAsia="华文仿宋"/>
          <w:sz w:val="28"/>
          <w:szCs w:val="28"/>
        </w:rPr>
        <w:t>诚信的</w:t>
      </w:r>
      <w:r>
        <w:rPr>
          <w:rFonts w:ascii="华文仿宋" w:hAnsi="华文仿宋" w:eastAsia="华文仿宋"/>
          <w:sz w:val="28"/>
          <w:szCs w:val="28"/>
        </w:rPr>
        <w:t>要求(H</w:t>
      </w:r>
      <w:r>
        <w:rPr>
          <w:rFonts w:hint="eastAsia" w:ascii="华文仿宋" w:hAnsi="华文仿宋" w:eastAsia="华文仿宋"/>
          <w:sz w:val="28"/>
          <w:szCs w:val="28"/>
        </w:rPr>
        <w:t>onest</w:t>
      </w:r>
      <w:r>
        <w:rPr>
          <w:rFonts w:ascii="华文仿宋" w:hAnsi="华文仿宋" w:eastAsia="华文仿宋"/>
          <w:sz w:val="28"/>
          <w:szCs w:val="28"/>
        </w:rPr>
        <w:t>y R</w:t>
      </w:r>
      <w:r>
        <w:rPr>
          <w:rFonts w:hint="eastAsia" w:ascii="华文仿宋" w:hAnsi="华文仿宋" w:eastAsia="华文仿宋"/>
          <w:sz w:val="28"/>
          <w:szCs w:val="28"/>
        </w:rPr>
        <w:t>equirements</w:t>
      </w:r>
      <w:r>
        <w:rPr>
          <w:rFonts w:ascii="华文仿宋" w:hAnsi="华文仿宋" w:eastAsia="华文仿宋"/>
          <w:sz w:val="28"/>
          <w:szCs w:val="28"/>
        </w:rPr>
        <w:t>)</w:t>
      </w:r>
    </w:p>
    <w:tbl>
      <w:tblPr>
        <w:tblStyle w:val="6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2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涉及学生的学术不诚实问题主要包括考试作弊；抄袭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以及代替他人考勤等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；伪造或不当使用在校学习成绩；未经老师允许获取、利用考试材料；对于学术不诚实的最低惩罚是考试给予0分。其他的惩罚包括通告学校相关部门并按照有关规定进行处理。</w:t>
            </w:r>
          </w:p>
        </w:tc>
      </w:tr>
    </w:tbl>
    <w:p>
      <w:pPr>
        <w:pStyle w:val="7"/>
        <w:numPr>
          <w:ilvl w:val="0"/>
          <w:numId w:val="1"/>
        </w:numPr>
        <w:ind w:firstLineChars="0"/>
        <w:jc w:val="left"/>
        <w:rPr>
          <w:rFonts w:ascii="华文仿宋" w:hAnsi="华文仿宋" w:eastAsia="华文仿宋"/>
          <w:sz w:val="24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对最终</w:t>
      </w:r>
      <w:r>
        <w:rPr>
          <w:rFonts w:ascii="华文仿宋" w:hAnsi="华文仿宋" w:eastAsia="华文仿宋"/>
          <w:sz w:val="28"/>
          <w:szCs w:val="28"/>
        </w:rPr>
        <w:t>成绩有不同意见</w:t>
      </w:r>
      <w:r>
        <w:rPr>
          <w:rFonts w:hint="eastAsia" w:ascii="华文仿宋" w:hAnsi="华文仿宋" w:eastAsia="华文仿宋"/>
          <w:sz w:val="28"/>
          <w:szCs w:val="28"/>
        </w:rPr>
        <w:t>时</w:t>
      </w:r>
      <w:r>
        <w:rPr>
          <w:rFonts w:ascii="华文仿宋" w:hAnsi="华文仿宋" w:eastAsia="华文仿宋"/>
          <w:sz w:val="28"/>
          <w:szCs w:val="28"/>
        </w:rPr>
        <w:t>的处理解决方案</w:t>
      </w:r>
      <w:r>
        <w:rPr>
          <w:rFonts w:hint="eastAsia" w:ascii="华文仿宋" w:hAnsi="华文仿宋" w:eastAsia="华文仿宋"/>
          <w:sz w:val="22"/>
          <w:szCs w:val="28"/>
        </w:rPr>
        <w:t>（Grade Dispute Policy）</w:t>
      </w:r>
    </w:p>
    <w:tbl>
      <w:tblPr>
        <w:tblStyle w:val="6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根据学校相关制度处理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sectPr>
      <w:headerReference r:id="rId5" w:type="default"/>
      <w:pgSz w:w="11906" w:h="16838"/>
      <w:pgMar w:top="1440" w:right="1800" w:bottom="1135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华文琥珀">
    <w:altName w:val="宋体"/>
    <w:panose1 w:val="02010800040101010101"/>
    <w:charset w:val="86"/>
    <w:family w:val="auto"/>
    <w:pitch w:val="default"/>
    <w:sig w:usb0="00000001" w:usb1="080F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jc w:val="left"/>
    </w:pPr>
    <w:r>
      <w:rPr>
        <w:rFonts w:hint="eastAsia" w:ascii="华文仿宋" w:hAnsi="华文仿宋" w:eastAsia="华文仿宋"/>
        <w:sz w:val="28"/>
        <w:szCs w:val="28"/>
      </w:rPr>
      <w:t>附件1：</w:t>
    </w:r>
    <w:r>
      <w:rPr>
        <w:rFonts w:ascii="华文仿宋" w:hAnsi="华文仿宋" w:eastAsia="华文仿宋"/>
        <w:sz w:val="28"/>
        <w:szCs w:val="28"/>
      </w:rPr>
      <w:t>课程教学提纲基本格式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952056502">
    <w:nsid w:val="745A04B6"/>
    <w:multiLevelType w:val="multilevel"/>
    <w:tmpl w:val="745A04B6"/>
    <w:lvl w:ilvl="0" w:tentative="1">
      <w:start w:val="1"/>
      <w:numFmt w:val="decimal"/>
      <w:lvlText w:val="%1."/>
      <w:lvlJc w:val="left"/>
      <w:pPr>
        <w:tabs>
          <w:tab w:val="left" w:pos="900"/>
        </w:tabs>
        <w:ind w:left="900" w:hanging="420"/>
      </w:pPr>
    </w:lvl>
    <w:lvl w:ilvl="1" w:tentative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1396003436">
    <w:nsid w:val="5335526C"/>
    <w:multiLevelType w:val="multilevel"/>
    <w:tmpl w:val="5335526C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96003436"/>
  </w:num>
  <w:num w:numId="2">
    <w:abstractNumId w:val="195205650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2A27"/>
    <w:rsid w:val="0AB77B89"/>
    <w:rsid w:val="0E4E3EED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iPriority="0" w:name="Table Grid"/>
    <w:lsdException w:uiPriority="0" w:name="Table Theme"/>
    <w:lsdException w:uiPriority="0" w:name="Light Shading"/>
    <w:lsdException w:uiPriority="0" w:name="Light List"/>
    <w:lsdException w:uiPriority="0" w:name="Light Grid"/>
    <w:lsdException w:uiPriority="0" w:name="Medium Shading 1"/>
    <w:lsdException w:uiPriority="0" w:name="Medium Shading 2"/>
    <w:lsdException w:uiPriority="0" w:name="Medium List 1"/>
    <w:lsdException w:uiPriority="0" w:name="Medium List 2"/>
    <w:lsdException w:uiPriority="0" w:name="Medium Grid 1"/>
    <w:lsdException w:uiPriority="0" w:name="Medium Grid 2"/>
    <w:lsdException w:uiPriority="0" w:name="Medium Grid 3"/>
    <w:lsdException w:uiPriority="0" w:name="Dark List"/>
    <w:lsdException w:uiPriority="0" w:name="Colorful Shading"/>
    <w:lsdException w:uiPriority="0" w:name="Colorful List"/>
    <w:lsdException w:uiPriority="0" w:name="Colorful Grid"/>
    <w:lsdException w:uiPriority="0" w:name="Light Shading Accent 1"/>
    <w:lsdException w:uiPriority="0" w:name="Light List Accent 1"/>
    <w:lsdException w:uiPriority="0" w:name="Light Grid Accent 1"/>
    <w:lsdException w:uiPriority="0" w:name="Medium Shading 1 Accent 1"/>
    <w:lsdException w:uiPriority="0" w:name="Medium Shading 2 Accent 1"/>
    <w:lsdException w:uiPriority="0" w:name="Medium List 1 Accent 1"/>
    <w:lsdException w:uiPriority="0" w:name="Medium List 2 Accent 1"/>
    <w:lsdException w:uiPriority="0" w:name="Medium Grid 1 Accent 1"/>
    <w:lsdException w:uiPriority="0" w:name="Medium Grid 2 Accent 1"/>
    <w:lsdException w:uiPriority="0" w:name="Medium Grid 3 Accent 1"/>
    <w:lsdException w:uiPriority="0" w:name="Dark List Accent 1"/>
    <w:lsdException w:uiPriority="0" w:name="Colorful Shading Accent 1"/>
    <w:lsdException w:uiPriority="0" w:name="Colorful List Accent 1"/>
    <w:lsdException w:uiPriority="0" w:name="Colorful Grid Accent 1"/>
    <w:lsdException w:uiPriority="0" w:name="Light Shading Accent 2"/>
    <w:lsdException w:uiPriority="0" w:name="Light List Accent 2"/>
    <w:lsdException w:uiPriority="0" w:name="Light Grid Accent 2"/>
    <w:lsdException w:uiPriority="0" w:name="Medium Shading 1 Accent 2"/>
    <w:lsdException w:uiPriority="0" w:name="Medium Shading 2 Accent 2"/>
    <w:lsdException w:uiPriority="0" w:name="Medium List 1 Accent 2"/>
    <w:lsdException w:uiPriority="0" w:name="Medium List 2 Accent 2"/>
    <w:lsdException w:uiPriority="0" w:name="Medium Grid 1 Accent 2"/>
    <w:lsdException w:uiPriority="0" w:name="Medium Grid 2 Accent 2"/>
    <w:lsdException w:uiPriority="0" w:name="Medium Grid 3 Accent 2"/>
    <w:lsdException w:uiPriority="0" w:name="Dark List Accent 2"/>
    <w:lsdException w:uiPriority="0" w:name="Colorful Shading Accent 2"/>
    <w:lsdException w:uiPriority="0" w:name="Colorful List Accent 2"/>
    <w:lsdException w:uiPriority="0" w:name="Colorful Grid Accent 2"/>
    <w:lsdException w:uiPriority="0" w:name="Light Shading Accent 3"/>
    <w:lsdException w:uiPriority="0" w:name="Light List Accent 3"/>
    <w:lsdException w:uiPriority="0" w:name="Light Grid Accent 3"/>
    <w:lsdException w:uiPriority="0" w:name="Medium Shading 1 Accent 3"/>
    <w:lsdException w:uiPriority="0" w:name="Medium Shading 2 Accent 3"/>
    <w:lsdException w:uiPriority="0" w:name="Medium List 1 Accent 3"/>
    <w:lsdException w:uiPriority="0" w:name="Medium List 2 Accent 3"/>
    <w:lsdException w:uiPriority="0" w:name="Medium Grid 1 Accent 3"/>
    <w:lsdException w:uiPriority="0" w:name="Medium Grid 2 Accent 3"/>
    <w:lsdException w:uiPriority="0" w:name="Medium Grid 3 Accent 3"/>
    <w:lsdException w:uiPriority="0" w:name="Dark List Accent 3"/>
    <w:lsdException w:uiPriority="0" w:name="Colorful Shading Accent 3"/>
    <w:lsdException w:uiPriority="0" w:name="Colorful List Accent 3"/>
    <w:lsdException w:uiPriority="0" w:name="Colorful Grid Accent 3"/>
    <w:lsdException w:uiPriority="0" w:name="Light Shading Accent 4"/>
    <w:lsdException w:uiPriority="0" w:name="Light List Accent 4"/>
    <w:lsdException w:uiPriority="0" w:name="Light Grid Accent 4"/>
    <w:lsdException w:uiPriority="0" w:name="Medium Shading 1 Accent 4"/>
    <w:lsdException w:uiPriority="0" w:name="Medium Shading 2 Accent 4"/>
    <w:lsdException w:uiPriority="0" w:name="Medium List 1 Accent 4"/>
    <w:lsdException w:uiPriority="0" w:name="Medium List 2 Accent 4"/>
    <w:lsdException w:uiPriority="0" w:name="Medium Grid 1 Accent 4"/>
    <w:lsdException w:uiPriority="0" w:name="Medium Grid 2 Accent 4"/>
    <w:lsdException w:uiPriority="0" w:name="Medium Grid 3 Accent 4"/>
    <w:lsdException w:uiPriority="0" w:name="Dark List Accent 4"/>
    <w:lsdException w:uiPriority="0" w:name="Colorful Shading Accent 4"/>
    <w:lsdException w:uiPriority="0" w:name="Colorful List Accent 4"/>
    <w:lsdException w:uiPriority="0" w:name="Colorful Grid Accent 4"/>
    <w:lsdException w:uiPriority="0" w:name="Light Shading Accent 5"/>
    <w:lsdException w:uiPriority="0" w:name="Light List Accent 5"/>
    <w:lsdException w:uiPriority="0" w:name="Light Grid Accent 5"/>
    <w:lsdException w:uiPriority="0" w:name="Medium Shading 1 Accent 5"/>
    <w:lsdException w:uiPriority="0" w:name="Medium Shading 2 Accent 5"/>
    <w:lsdException w:uiPriority="0" w:name="Medium List 1 Accent 5"/>
    <w:lsdException w:uiPriority="0" w:name="Medium List 2 Accent 5"/>
    <w:lsdException w:uiPriority="0" w:name="Medium Grid 1 Accent 5"/>
    <w:lsdException w:uiPriority="0" w:name="Medium Grid 2 Accent 5"/>
    <w:lsdException w:uiPriority="0" w:name="Medium Grid 3 Accent 5"/>
    <w:lsdException w:uiPriority="0" w:name="Dark List Accent 5"/>
    <w:lsdException w:uiPriority="0" w:name="Colorful Shading Accent 5"/>
    <w:lsdException w:uiPriority="0" w:name="Colorful List Accent 5"/>
    <w:lsdException w:uiPriority="0" w:name="Colorful Grid Accent 5"/>
    <w:lsdException w:uiPriority="0" w:name="Light Shading Accent 6"/>
    <w:lsdException w:uiPriority="0" w:name="Light List Accent 6"/>
    <w:lsdException w:uiPriority="0" w:name="Light Grid Accent 6"/>
    <w:lsdException w:uiPriority="0" w:name="Medium Shading 1 Accent 6"/>
    <w:lsdException w:uiPriority="0" w:name="Medium Shading 2 Accent 6"/>
    <w:lsdException w:uiPriority="0" w:name="Medium List 1 Accent 6"/>
    <w:lsdException w:uiPriority="0" w:name="Medium List 2 Accent 6"/>
    <w:lsdException w:uiPriority="0" w:name="Medium Grid 1 Accent 6"/>
    <w:lsdException w:uiPriority="0" w:name="Medium Grid 2 Accent 6"/>
    <w:lsdException w:uiPriority="0" w:name="Medium Grid 3 Accent 6"/>
    <w:lsdException w:uiPriority="0" w:name="Dark List Accent 6"/>
    <w:lsdException w:uiPriority="0" w:name="Colorful Shading Accent 6"/>
    <w:lsdException w:uiPriority="0" w:name="Colorful List Accent 6"/>
    <w:lsdException w:uiPriority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0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f141"/>
    <w:basedOn w:val="5"/>
    <w:uiPriority w:val="0"/>
    <w:rPr>
      <w:sz w:val="22"/>
      <w:szCs w:val="22"/>
    </w:rPr>
  </w:style>
  <w:style w:type="character" w:customStyle="1" w:styleId="9">
    <w:name w:val="批注框文本 Char Char"/>
    <w:basedOn w:val="5"/>
    <w:link w:val="2"/>
    <w:uiPriority w:val="99"/>
    <w:rPr>
      <w:sz w:val="18"/>
      <w:szCs w:val="18"/>
    </w:rPr>
  </w:style>
  <w:style w:type="character" w:customStyle="1" w:styleId="10">
    <w:name w:val="页眉 Char Char"/>
    <w:basedOn w:val="5"/>
    <w:link w:val="4"/>
    <w:uiPriority w:val="99"/>
    <w:rPr>
      <w:sz w:val="18"/>
      <w:szCs w:val="18"/>
    </w:rPr>
  </w:style>
  <w:style w:type="character" w:customStyle="1" w:styleId="11">
    <w:name w:val="页脚 Char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358</Words>
  <Characters>2043</Characters>
  <Lines>17</Lines>
  <Paragraphs>4</Paragraphs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2013-11-13T06:04:00Z</dcterms:created>
  <dc:creator>张双喜</dc:creator>
  <cp:lastModifiedBy>user</cp:lastModifiedBy>
  <cp:lastPrinted>2013-11-22T08:40:00Z</cp:lastPrinted>
  <dcterms:modified xsi:type="dcterms:W3CDTF">2015-09-17T05:12:04Z</dcterms:modified>
  <dc:title>《经济法》课程教学提纲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